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4" w:type="dxa"/>
        <w:jc w:val="center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3"/>
        <w:gridCol w:w="1275"/>
        <w:gridCol w:w="884"/>
        <w:gridCol w:w="1384"/>
        <w:gridCol w:w="317"/>
        <w:gridCol w:w="2501"/>
        <w:gridCol w:w="159"/>
        <w:gridCol w:w="1701"/>
      </w:tblGrid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t xml:space="preserve">Студијски програм/студијски програми: </w:t>
            </w:r>
            <w:r w:rsidRPr="006050E5">
              <w:rPr>
                <w:lang w:val="sr-Cyrl-RS"/>
              </w:rPr>
              <w:t xml:space="preserve">Мастер </w:t>
            </w:r>
            <w:r w:rsidRPr="006050E5">
              <w:t>васпитач у домовима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rPr>
                <w:lang w:val="sr-Cyrl-CS"/>
              </w:rPr>
              <w:t xml:space="preserve">Врста </w:t>
            </w:r>
            <w:r w:rsidRPr="006050E5">
              <w:rPr>
                <w:lang w:val="ru-RU"/>
              </w:rPr>
              <w:t>и ниво студија:</w:t>
            </w:r>
            <w:r w:rsidRPr="006050E5">
              <w:rPr>
                <w:b/>
              </w:rPr>
              <w:t xml:space="preserve"> </w:t>
            </w:r>
            <w:r w:rsidRPr="006050E5">
              <w:rPr>
                <w:lang w:val="sr-Cyrl-RS"/>
              </w:rPr>
              <w:t>Мастер академске студије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481CC8" w:rsidRDefault="009D5094" w:rsidP="008D5913">
            <w:pPr>
              <w:pStyle w:val="Heading3"/>
              <w:rPr>
                <w:lang w:val="sr-Cyrl-CS"/>
              </w:rPr>
            </w:pPr>
            <w:bookmarkStart w:id="0" w:name="_Toc366487968"/>
            <w:r w:rsidRPr="00481CC8">
              <w:rPr>
                <w:bCs w:val="0"/>
              </w:rPr>
              <w:t>Назив предмета:</w:t>
            </w:r>
            <w:r w:rsidRPr="00481CC8">
              <w:rPr>
                <w:bCs w:val="0"/>
                <w:lang w:val="sr-Cyrl-RS"/>
              </w:rPr>
              <w:t xml:space="preserve"> </w:t>
            </w:r>
            <w:r w:rsidRPr="00481CC8">
              <w:rPr>
                <w:bCs w:val="0"/>
              </w:rPr>
              <w:t>Домск</w:t>
            </w:r>
            <w:r w:rsidRPr="00481CC8">
              <w:rPr>
                <w:bCs w:val="0"/>
                <w:lang w:val="sr-Cyrl-CS"/>
              </w:rPr>
              <w:t>и модели</w:t>
            </w:r>
            <w:bookmarkEnd w:id="0"/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rPr>
                <w:b/>
                <w:bCs/>
              </w:rPr>
              <w:t>Наставник</w:t>
            </w:r>
            <w:r w:rsidRPr="006050E5">
              <w:t xml:space="preserve">(Име, средње слово, презиме): </w:t>
            </w:r>
            <w:hyperlink r:id="rId6" w:history="1">
              <w:r w:rsidRPr="00C12135">
                <w:rPr>
                  <w:rStyle w:val="Hyperlink"/>
                  <w:b/>
                  <w:bCs/>
                </w:rPr>
                <w:t xml:space="preserve">Драган </w:t>
              </w:r>
              <w:bookmarkStart w:id="1" w:name="_GoBack"/>
              <w:r w:rsidRPr="00C12135">
                <w:rPr>
                  <w:rStyle w:val="Hyperlink"/>
                  <w:b/>
                  <w:bCs/>
                </w:rPr>
                <w:t>М</w:t>
              </w:r>
              <w:bookmarkEnd w:id="1"/>
              <w:r w:rsidRPr="00C12135">
                <w:rPr>
                  <w:rStyle w:val="Hyperlink"/>
                  <w:b/>
                  <w:bCs/>
                </w:rPr>
                <w:t>. Јешић</w:t>
              </w:r>
            </w:hyperlink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t xml:space="preserve">Статус предмета: </w:t>
            </w:r>
            <w:r>
              <w:rPr>
                <w:lang w:val="sr-Cyrl-RS"/>
              </w:rPr>
              <w:t>О</w:t>
            </w:r>
            <w:r w:rsidRPr="006050E5">
              <w:t>бавезни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Број ЕСПБ: </w:t>
            </w:r>
            <w:r>
              <w:rPr>
                <w:lang w:val="sr-Cyrl-RS"/>
              </w:rPr>
              <w:t>6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Услов: </w:t>
            </w:r>
            <w:r>
              <w:rPr>
                <w:lang w:val="sr-Cyrl-RS"/>
              </w:rPr>
              <w:t>/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  <w:rPr>
                <w:lang w:val="sr-Cyrl-RS"/>
              </w:rPr>
            </w:pPr>
            <w:r w:rsidRPr="006050E5">
              <w:rPr>
                <w:b/>
                <w:bCs/>
              </w:rPr>
              <w:t>Циљ предмета</w:t>
            </w:r>
          </w:p>
          <w:p w:rsidR="009D5094" w:rsidRPr="006050E5" w:rsidRDefault="009D5094" w:rsidP="008D5913">
            <w:pPr>
              <w:jc w:val="both"/>
            </w:pPr>
            <w:r w:rsidRPr="006050E5">
              <w:t>Упознавање и разумевање специфичности унутрашње организације у зависости од категоризације домске заједнице или специјализоване васпитне установе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  <w:rPr>
                <w:b/>
                <w:bCs/>
                <w:lang w:val="sr-Cyrl-RS"/>
              </w:rPr>
            </w:pPr>
            <w:r w:rsidRPr="006050E5">
              <w:rPr>
                <w:b/>
                <w:bCs/>
              </w:rPr>
              <w:t>Исход предмета</w:t>
            </w:r>
          </w:p>
          <w:p w:rsidR="009D5094" w:rsidRPr="006050E5" w:rsidRDefault="009D5094" w:rsidP="008D5913">
            <w:pPr>
              <w:jc w:val="both"/>
            </w:pPr>
            <w:r w:rsidRPr="006050E5">
              <w:t>Критичко разумевање различитих модела живота и рада у домовима. Увиђање различитих, начела, садржаја и распореда активности, с обзиром на тип установе. Разумевање састава васпитаника и штићеника, а самим тим и увиђање и разумевање конкретних организационих форми у зависности од узрасних, породичних, социјалних и индивидуалних и других одређујућих карактеристика. Разумевање различитих методичких приступа у зависности од модела институција.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</w:pPr>
            <w:r w:rsidRPr="006050E5">
              <w:rPr>
                <w:b/>
                <w:bCs/>
              </w:rPr>
              <w:t>Садржај предмета</w:t>
            </w:r>
          </w:p>
          <w:p w:rsidR="009D5094" w:rsidRDefault="009D5094" w:rsidP="008D5913">
            <w:pPr>
              <w:jc w:val="both"/>
              <w:rPr>
                <w:i/>
                <w:iCs/>
                <w:lang w:val="sr-Cyrl-CS"/>
              </w:rPr>
            </w:pPr>
            <w:r w:rsidRPr="006050E5">
              <w:rPr>
                <w:i/>
                <w:iCs/>
              </w:rPr>
              <w:t>Теоријска настава</w:t>
            </w:r>
          </w:p>
          <w:p w:rsidR="009D5094" w:rsidRDefault="009D5094" w:rsidP="008D5913">
            <w:pPr>
              <w:jc w:val="both"/>
            </w:pPr>
            <w:r w:rsidRPr="006050E5">
              <w:t>Врста и и типови домова. Традиционалне и терапеутске концепције домова. Разлике по питању, начела, садржаја и распореда активности, с обзиром на тип установе. Организационе форме у зависности од узрасних, породичних, социјалних и индивидуалних и других одређујућих карактеристика, организације послова за задовољење примарних али и специфичних потреба васпитаника, организација активности за одржавање и унапређивање образовне успешности. Специфичност местодичких приступа у зависности од типова институција. Популарни модели програмских иницијатива васпитно-образовног рада у домовима у свету (the Wellness Model, Asset-based Model, Community Standards Model, Living-Learning Model, BASIC Model, Cultural-based model).</w:t>
            </w:r>
          </w:p>
          <w:p w:rsidR="009D5094" w:rsidRPr="006050E5" w:rsidRDefault="009D5094" w:rsidP="008D5913">
            <w:pPr>
              <w:jc w:val="both"/>
            </w:pPr>
          </w:p>
          <w:p w:rsidR="009D5094" w:rsidRPr="006050E5" w:rsidRDefault="009D5094" w:rsidP="008D59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Практична настава</w:t>
            </w:r>
            <w:r w:rsidRPr="006050E5">
              <w:rPr>
                <w:i/>
                <w:iCs/>
              </w:rPr>
              <w:t xml:space="preserve"> Вежбе, Други облици наставе, Студијски истраживачки рад</w:t>
            </w:r>
          </w:p>
          <w:p w:rsidR="009D5094" w:rsidRPr="006050E5" w:rsidRDefault="009D5094" w:rsidP="008D5913">
            <w:pPr>
              <w:jc w:val="both"/>
            </w:pPr>
            <w:r w:rsidRPr="006050E5">
              <w:t>Израда задатака за самостални рад, вежбе и професионална пракса.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ED22C8" w:rsidRDefault="009D5094" w:rsidP="008D5913">
            <w:pPr>
              <w:jc w:val="both"/>
              <w:rPr>
                <w:lang w:val="sr-Cyrl-CS"/>
              </w:rPr>
            </w:pPr>
            <w:r w:rsidRPr="006050E5">
              <w:rPr>
                <w:b/>
                <w:bCs/>
              </w:rPr>
              <w:t>Литература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Јешић, Д. (2009)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>
              <w:rPr>
                <w:i/>
                <w:iCs/>
              </w:rPr>
              <w:t>Домска педагогиј</w:t>
            </w:r>
            <w:r>
              <w:rPr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 w:rsidRPr="006050E5">
              <w:t>Јагодина</w:t>
            </w:r>
            <w:r>
              <w:rPr>
                <w:lang w:val="sr-Cyrl-RS"/>
              </w:rPr>
              <w:t xml:space="preserve">: </w:t>
            </w:r>
            <w:r>
              <w:t xml:space="preserve">Педагошки факултет </w:t>
            </w:r>
            <w:r>
              <w:rPr>
                <w:lang w:val="sr-Cyrl-CS"/>
              </w:rPr>
              <w:t xml:space="preserve">у </w:t>
            </w:r>
            <w:r>
              <w:t>Јагодин</w:t>
            </w:r>
            <w:r>
              <w:rPr>
                <w:lang w:val="sr-Cyrl-CS"/>
              </w:rPr>
              <w:t>и</w:t>
            </w:r>
            <w:r>
              <w:rPr>
                <w:lang w:val="sr-Cyrl-RS"/>
              </w:rPr>
              <w:t>.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Кишјухас, Ј.(2002)</w:t>
            </w:r>
            <w:r>
              <w:rPr>
                <w:lang w:val="sr-Cyrl-RS"/>
              </w:rPr>
              <w:t xml:space="preserve">. </w:t>
            </w:r>
            <w:r w:rsidRPr="006050E5">
              <w:rPr>
                <w:i/>
                <w:iCs/>
              </w:rPr>
              <w:t xml:space="preserve">Домови ученика у </w:t>
            </w:r>
            <w:r w:rsidRPr="00636B66">
              <w:rPr>
                <w:iCs/>
              </w:rPr>
              <w:t>свету</w:t>
            </w:r>
            <w:r>
              <w:rPr>
                <w:iCs/>
                <w:lang w:val="sr-Cyrl-CS"/>
              </w:rPr>
              <w:t xml:space="preserve">. </w:t>
            </w:r>
            <w:r w:rsidRPr="00636B66">
              <w:t>Београд</w:t>
            </w:r>
            <w:r>
              <w:t>: Мрљеш.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Holgate, T. (2007)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Good practice in Boarding school</w:t>
            </w:r>
            <w:r>
              <w:rPr>
                <w:i/>
                <w:iCs/>
                <w:lang w:val="sr-Cyrl-CS"/>
              </w:rPr>
              <w:t xml:space="preserve">. </w:t>
            </w:r>
            <w:r>
              <w:t xml:space="preserve"> London</w:t>
            </w:r>
            <w:r>
              <w:rPr>
                <w:lang w:val="sr-Cyrl-RS"/>
              </w:rPr>
              <w:t xml:space="preserve">: </w:t>
            </w:r>
            <w:r>
              <w:t>BSA</w:t>
            </w:r>
            <w:r>
              <w:rPr>
                <w:lang w:val="sr-Cyrl-RS"/>
              </w:rPr>
              <w:t>.</w:t>
            </w:r>
            <w:r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Скалар, В. (2001)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Взгојне установе на преходу впостиндрустријско дружбо</w:t>
            </w:r>
            <w:r>
              <w:rPr>
                <w:iCs/>
                <w:lang w:val="sr-Cyrl-CS"/>
              </w:rPr>
              <w:t xml:space="preserve">. </w:t>
            </w:r>
            <w:r>
              <w:t>Љубљана</w:t>
            </w:r>
            <w:r>
              <w:rPr>
                <w:lang w:val="sr-Cyrl-RS"/>
              </w:rPr>
              <w:t xml:space="preserve">: </w:t>
            </w:r>
            <w:r>
              <w:t>Младост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 w:rsidRPr="006050E5">
              <w:rPr>
                <w:i/>
                <w:iCs/>
              </w:rPr>
              <w:t>Васпитни рад и организација живота и рада у домовима ученика средњих школа</w:t>
            </w:r>
            <w:r>
              <w:rPr>
                <w:iCs/>
                <w:lang w:val="sr-Cyrl-CS"/>
              </w:rPr>
              <w:t>.</w:t>
            </w:r>
            <w:r w:rsidRPr="006050E5">
              <w:t xml:space="preserve"> (1998)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6050E5">
              <w:t>Министарство просвете Републике Србије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CS"/>
              </w:rPr>
            </w:pPr>
            <w:r w:rsidRPr="006050E5">
              <w:rPr>
                <w:i/>
                <w:iCs/>
              </w:rPr>
              <w:t>Основе програма васпитног рада у домовима ученика</w:t>
            </w:r>
            <w:r>
              <w:rPr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 w:rsidRPr="006050E5">
              <w:t>(2006)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  <w:r>
              <w:rPr>
                <w:lang w:val="sr-Cyrl-CS"/>
              </w:rPr>
              <w:t xml:space="preserve">Подгорица: </w:t>
            </w:r>
            <w:r w:rsidRPr="006050E5">
              <w:t>Министарство просвјете и науке Црне Го</w:t>
            </w:r>
            <w:r>
              <w:t>ре</w:t>
            </w:r>
            <w:r>
              <w:rPr>
                <w:lang w:val="sr-Cyrl-CS"/>
              </w:rPr>
              <w:t>.</w:t>
            </w:r>
            <w:r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Росић, В. (2007)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>
              <w:rPr>
                <w:i/>
                <w:iCs/>
              </w:rPr>
              <w:t>Домска педагогија</w:t>
            </w:r>
            <w:r>
              <w:rPr>
                <w:i/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>
              <w:t>Задар</w:t>
            </w:r>
            <w:r>
              <w:rPr>
                <w:lang w:val="sr-Cyrl-RS"/>
              </w:rPr>
              <w:t xml:space="preserve">: </w:t>
            </w:r>
            <w:r>
              <w:t>Наклада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Хрватић, Н. (2002)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Домска педагогиј</w:t>
            </w:r>
            <w:r>
              <w:rPr>
                <w:i/>
                <w:iCs/>
              </w:rPr>
              <w:t>а: од теорије до одгојне праксе</w:t>
            </w:r>
            <w:r>
              <w:rPr>
                <w:i/>
                <w:iCs/>
                <w:lang w:val="sr-Cyrl-CS"/>
              </w:rPr>
              <w:t xml:space="preserve">. </w:t>
            </w:r>
            <w:r w:rsidRPr="006050E5">
              <w:rPr>
                <w:i/>
                <w:iCs/>
              </w:rPr>
              <w:t>Зборник радова: однос педагогијске теорије и педагошке праксе,</w:t>
            </w:r>
            <w:r w:rsidRPr="006050E5">
              <w:t xml:space="preserve"> </w:t>
            </w:r>
            <w:r>
              <w:t>Ријека</w:t>
            </w:r>
            <w:r>
              <w:rPr>
                <w:lang w:val="sr-Cyrl-RS"/>
              </w:rPr>
              <w:t>:</w:t>
            </w:r>
            <w:r w:rsidRPr="006050E5">
              <w:rPr>
                <w:i/>
                <w:iCs/>
              </w:rPr>
              <w:t xml:space="preserve"> </w:t>
            </w:r>
            <w:r>
              <w:t>Филозофски факултет у Ријеци</w:t>
            </w:r>
            <w:r>
              <w:rPr>
                <w:lang w:val="sr-Cyrl-RS"/>
              </w:rPr>
              <w:t>.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Seitz, M. Halliwachs (1997)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Montesori ili Waldorf</w:t>
            </w:r>
            <w:r>
              <w:rPr>
                <w:iCs/>
                <w:lang w:val="sr-Cyrl-CS"/>
              </w:rPr>
              <w:t>.</w:t>
            </w:r>
            <w:r>
              <w:t xml:space="preserve"> Zagreb</w:t>
            </w:r>
            <w:r>
              <w:rPr>
                <w:lang w:val="sr-Cyrl-RS"/>
              </w:rPr>
              <w:t xml:space="preserve">: </w:t>
            </w:r>
            <w:r>
              <w:t>Educa</w:t>
            </w:r>
            <w:r>
              <w:rPr>
                <w:lang w:val="sr-Cyrl-RS"/>
              </w:rPr>
              <w:t>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Јешић,  Д. (2007)</w:t>
            </w:r>
            <w:r>
              <w:rPr>
                <w:lang w:val="sr-Cyrl-RS"/>
              </w:rPr>
              <w:t xml:space="preserve">. </w:t>
            </w:r>
            <w:r w:rsidRPr="006050E5">
              <w:rPr>
                <w:i/>
                <w:iCs/>
              </w:rPr>
              <w:t>Моделовање  васпитног  рада  у  домовима  ученика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050E5">
              <w:rPr>
                <w:i/>
                <w:iCs/>
              </w:rPr>
              <w:t>утемељено на принципима Валдофске и хумано личносне педагогије,</w:t>
            </w:r>
            <w:r>
              <w:rPr>
                <w:i/>
                <w:iCs/>
                <w:lang w:val="sr-Cyrl-RS"/>
              </w:rPr>
              <w:t xml:space="preserve"> </w:t>
            </w:r>
            <w:r w:rsidRPr="006050E5">
              <w:t>Zbornik povzetkov I mednarodne konference vzgoiteljev dijaških domov Separat speciale, Ljubljana</w:t>
            </w:r>
            <w:r>
              <w:rPr>
                <w:lang w:val="sr-Cyrl-CS"/>
              </w:rPr>
              <w:t>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u w:val="single"/>
                <w:lang w:val="sr-Cyrl-CS"/>
              </w:rPr>
            </w:pPr>
            <w:r w:rsidRPr="006050E5">
              <w:rPr>
                <w:i/>
                <w:iCs/>
              </w:rPr>
              <w:t xml:space="preserve">Типови домова у Великој Британији, </w:t>
            </w:r>
            <w:hyperlink r:id="rId7" w:history="1">
              <w:r w:rsidRPr="006050E5">
                <w:rPr>
                  <w:rStyle w:val="Hyperlink"/>
                </w:rPr>
                <w:t>http://www.boardingschoolsinfo.com/boarding-schools-guide.html</w:t>
              </w:r>
            </w:hyperlink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 w:rsidRPr="006050E5">
              <w:rPr>
                <w:i/>
                <w:iCs/>
              </w:rPr>
              <w:t xml:space="preserve">Типови домова у САД, </w:t>
            </w:r>
            <w:r w:rsidRPr="006050E5">
              <w:rPr>
                <w:u w:val="single"/>
              </w:rPr>
              <w:t>htpp://www.usboarding.hobsons.com/index.jsp</w:t>
            </w:r>
            <w:r>
              <w:rPr>
                <w:lang w:val="sr-Cyrl-RS"/>
              </w:rPr>
              <w:t xml:space="preserve"> </w:t>
            </w:r>
          </w:p>
          <w:p w:rsidR="009D5094" w:rsidRPr="00636B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CS"/>
              </w:rPr>
            </w:pPr>
            <w:r w:rsidRPr="006050E5">
              <w:rPr>
                <w:i/>
                <w:iCs/>
              </w:rPr>
              <w:t>Тинејџерски и остали домови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050E5">
              <w:rPr>
                <w:i/>
                <w:iCs/>
              </w:rPr>
              <w:t>,</w:t>
            </w:r>
            <w:hyperlink r:id="rId8" w:history="1">
              <w:r w:rsidRPr="006050E5">
                <w:rPr>
                  <w:rStyle w:val="Hyperlink"/>
                </w:rPr>
                <w:t>http://www.teenboardingschools.info/</w:t>
              </w:r>
            </w:hyperlink>
          </w:p>
          <w:p w:rsidR="009D5094" w:rsidRPr="00ED22C8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u w:val="single"/>
                <w:lang w:val="ru-RU"/>
              </w:rPr>
            </w:pPr>
            <w:r w:rsidRPr="006050E5">
              <w:rPr>
                <w:i/>
                <w:iCs/>
              </w:rPr>
              <w:t>Самерхил данас (званична презентација),</w:t>
            </w:r>
            <w:r>
              <w:rPr>
                <w:i/>
                <w:iCs/>
                <w:lang w:val="sr-Cyrl-RS"/>
              </w:rPr>
              <w:t xml:space="preserve"> </w:t>
            </w:r>
            <w:hyperlink r:id="rId9" w:history="1">
              <w:r w:rsidRPr="003F4395">
                <w:rPr>
                  <w:rStyle w:val="Hyperlink"/>
                </w:rPr>
                <w:t>http://www.summerhillschool.co.uk/</w:t>
              </w:r>
            </w:hyperlink>
            <w:r>
              <w:rPr>
                <w:u w:val="single"/>
                <w:lang w:val="sr-Cyrl-RS"/>
              </w:rPr>
              <w:t xml:space="preserve"> </w:t>
            </w:r>
          </w:p>
        </w:tc>
      </w:tr>
      <w:tr w:rsidR="009D5094" w:rsidRPr="006050E5" w:rsidTr="008D5913">
        <w:trPr>
          <w:jc w:val="center"/>
        </w:trPr>
        <w:tc>
          <w:tcPr>
            <w:tcW w:w="9143" w:type="dxa"/>
            <w:gridSpan w:val="7"/>
          </w:tcPr>
          <w:p w:rsidR="009D5094" w:rsidRPr="006050E5" w:rsidRDefault="009D5094" w:rsidP="008D5913">
            <w:pPr>
              <w:rPr>
                <w:b/>
                <w:bCs/>
              </w:rPr>
            </w:pPr>
            <w:r w:rsidRPr="006050E5">
              <w:rPr>
                <w:b/>
                <w:bCs/>
              </w:rPr>
              <w:t>Број часова  активне наставе</w:t>
            </w:r>
          </w:p>
        </w:tc>
        <w:tc>
          <w:tcPr>
            <w:tcW w:w="1701" w:type="dxa"/>
            <w:vMerge w:val="restart"/>
          </w:tcPr>
          <w:p w:rsidR="009D5094" w:rsidRPr="006050E5" w:rsidRDefault="009D5094" w:rsidP="008D5913">
            <w:r w:rsidRPr="006050E5">
              <w:t>Остали часови</w:t>
            </w:r>
          </w:p>
          <w:p w:rsidR="009D5094" w:rsidRPr="006050E5" w:rsidRDefault="009D5094" w:rsidP="008D5913">
            <w:pPr>
              <w:rPr>
                <w:lang w:val="sr-Cyrl-RS"/>
              </w:rPr>
            </w:pPr>
          </w:p>
        </w:tc>
      </w:tr>
      <w:tr w:rsidR="009D5094" w:rsidRPr="006050E5" w:rsidTr="008D5913">
        <w:trPr>
          <w:jc w:val="center"/>
        </w:trPr>
        <w:tc>
          <w:tcPr>
            <w:tcW w:w="2623" w:type="dxa"/>
          </w:tcPr>
          <w:p w:rsidR="009D5094" w:rsidRPr="006050E5" w:rsidRDefault="009D5094" w:rsidP="008D5913">
            <w:r w:rsidRPr="006050E5">
              <w:t xml:space="preserve">Предавања: </w:t>
            </w:r>
            <w:r>
              <w:rPr>
                <w:lang w:val="sr-Cyrl-RS"/>
              </w:rPr>
              <w:t xml:space="preserve"> </w:t>
            </w:r>
            <w:r w:rsidRPr="006050E5">
              <w:t>30</w:t>
            </w:r>
          </w:p>
        </w:tc>
        <w:tc>
          <w:tcPr>
            <w:tcW w:w="1275" w:type="dxa"/>
          </w:tcPr>
          <w:p w:rsidR="009D5094" w:rsidRPr="006050E5" w:rsidRDefault="009D5094" w:rsidP="008D5913">
            <w:r w:rsidRPr="006050E5">
              <w:t>Вежбе:</w:t>
            </w:r>
            <w:r>
              <w:rPr>
                <w:lang w:val="sr-Cyrl-RS"/>
              </w:rPr>
              <w:t xml:space="preserve"> </w:t>
            </w:r>
            <w:r w:rsidRPr="006050E5">
              <w:t>30</w:t>
            </w:r>
          </w:p>
        </w:tc>
        <w:tc>
          <w:tcPr>
            <w:tcW w:w="2268" w:type="dxa"/>
            <w:gridSpan w:val="2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Други облици наставе: </w:t>
            </w:r>
          </w:p>
        </w:tc>
        <w:tc>
          <w:tcPr>
            <w:tcW w:w="2977" w:type="dxa"/>
            <w:gridSpan w:val="3"/>
          </w:tcPr>
          <w:p w:rsidR="009D5094" w:rsidRPr="006050E5" w:rsidRDefault="009D5094" w:rsidP="008D5913">
            <w:r w:rsidRPr="006050E5">
              <w:t>Студијски истраживачки рад:</w:t>
            </w:r>
          </w:p>
        </w:tc>
        <w:tc>
          <w:tcPr>
            <w:tcW w:w="1701" w:type="dxa"/>
            <w:vMerge/>
          </w:tcPr>
          <w:p w:rsidR="009D5094" w:rsidRPr="006050E5" w:rsidRDefault="009D5094" w:rsidP="008D5913"/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Default="009D5094" w:rsidP="008D5913">
            <w:pPr>
              <w:rPr>
                <w:lang w:val="sr-Cyrl-RS"/>
              </w:rPr>
            </w:pPr>
            <w:r w:rsidRPr="006050E5">
              <w:rPr>
                <w:b/>
                <w:bCs/>
              </w:rPr>
              <w:t>Методе  извођења  наставе</w:t>
            </w:r>
            <w:r w:rsidRPr="006050E5">
              <w:t xml:space="preserve"> </w:t>
            </w:r>
          </w:p>
          <w:p w:rsidR="009D5094" w:rsidRPr="006050E5" w:rsidRDefault="009D5094" w:rsidP="008D5913">
            <w:r w:rsidRPr="006050E5">
              <w:t>Предавања,  вежбе,  семинари</w:t>
            </w:r>
            <w:r>
              <w:rPr>
                <w:lang w:val="sr-Cyrl-CS"/>
              </w:rPr>
              <w:t xml:space="preserve"> </w:t>
            </w:r>
            <w:r w:rsidRPr="006050E5">
              <w:t xml:space="preserve">(анализе,  дискусије,  извештаји), консултације, израда задатака и вежби предвиђених </w:t>
            </w:r>
            <w:r w:rsidRPr="006050E5">
              <w:rPr>
                <w:i/>
                <w:iCs/>
              </w:rPr>
              <w:t>Практикумом,</w:t>
            </w:r>
            <w:r w:rsidRPr="006050E5">
              <w:t xml:space="preserve"> менторски рад.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  <w:vAlign w:val="center"/>
          </w:tcPr>
          <w:p w:rsidR="009D5094" w:rsidRPr="006050E5" w:rsidRDefault="009D5094" w:rsidP="008D5913">
            <w:pPr>
              <w:jc w:val="center"/>
              <w:rPr>
                <w:b/>
                <w:bCs/>
              </w:rPr>
            </w:pPr>
            <w:r w:rsidRPr="006050E5">
              <w:rPr>
                <w:b/>
                <w:bCs/>
              </w:rPr>
              <w:t>Оцена знања</w:t>
            </w:r>
            <w:r>
              <w:rPr>
                <w:b/>
                <w:bCs/>
              </w:rPr>
              <w:t xml:space="preserve"> </w:t>
            </w:r>
            <w:r w:rsidRPr="006050E5">
              <w:rPr>
                <w:b/>
                <w:bCs/>
              </w:rPr>
              <w:t>(максимални број поена</w:t>
            </w:r>
            <w:r>
              <w:rPr>
                <w:b/>
                <w:bCs/>
              </w:rPr>
              <w:t xml:space="preserve"> </w:t>
            </w:r>
            <w:r w:rsidRPr="006050E5">
              <w:rPr>
                <w:b/>
                <w:bCs/>
              </w:rPr>
              <w:t>100)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pPr>
              <w:rPr>
                <w:b/>
                <w:bCs/>
              </w:rPr>
            </w:pPr>
            <w:r w:rsidRPr="006050E5">
              <w:rPr>
                <w:b/>
                <w:bCs/>
              </w:rPr>
              <w:t>Предиспитне обавезе</w:t>
            </w:r>
          </w:p>
        </w:tc>
        <w:tc>
          <w:tcPr>
            <w:tcW w:w="1701" w:type="dxa"/>
            <w:gridSpan w:val="2"/>
          </w:tcPr>
          <w:p w:rsidR="009D5094" w:rsidRPr="00251427" w:rsidRDefault="009D5094" w:rsidP="008D5913">
            <w:pPr>
              <w:rPr>
                <w:bCs/>
                <w:lang w:val="sr-Cyrl-RS"/>
              </w:rPr>
            </w:pPr>
            <w:r w:rsidRPr="00251427">
              <w:rPr>
                <w:bCs/>
                <w:lang w:val="sr-Cyrl-R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Завршни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251427" w:rsidRDefault="009D5094" w:rsidP="008D5913">
            <w:r w:rsidRPr="00251427">
              <w:rPr>
                <w:lang w:val="sr-Cyrl-RS"/>
              </w:rPr>
              <w:t>поена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активност у току предавања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10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писмени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практична настава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10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усмени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2623" w:type="dxa"/>
            <w:vMerge w:val="restart"/>
          </w:tcPr>
          <w:p w:rsidR="009D5094" w:rsidRPr="006050E5" w:rsidRDefault="009D5094" w:rsidP="008D5913">
            <w:r w:rsidRPr="006050E5">
              <w:t>колоквијум-и</w:t>
            </w:r>
          </w:p>
        </w:tc>
        <w:tc>
          <w:tcPr>
            <w:tcW w:w="2159" w:type="dxa"/>
            <w:gridSpan w:val="2"/>
          </w:tcPr>
          <w:p w:rsidR="009D5094" w:rsidRPr="006050E5" w:rsidRDefault="009D5094" w:rsidP="008D5913">
            <w:r w:rsidRPr="006050E5">
              <w:t>Први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15</w:t>
            </w:r>
          </w:p>
        </w:tc>
        <w:tc>
          <w:tcPr>
            <w:tcW w:w="2501" w:type="dxa"/>
            <w:vMerge w:val="restart"/>
            <w:vAlign w:val="center"/>
          </w:tcPr>
          <w:p w:rsidR="009D5094" w:rsidRPr="006050E5" w:rsidRDefault="009D5094" w:rsidP="008D5913">
            <w:pPr>
              <w:rPr>
                <w:i/>
                <w:iCs/>
              </w:rPr>
            </w:pPr>
            <w:r w:rsidRPr="006050E5">
              <w:rPr>
                <w:i/>
                <w:iCs/>
              </w:rPr>
              <w:t>Практикум</w:t>
            </w:r>
          </w:p>
        </w:tc>
        <w:tc>
          <w:tcPr>
            <w:tcW w:w="1860" w:type="dxa"/>
            <w:gridSpan w:val="2"/>
            <w:vMerge w:val="restart"/>
            <w:vAlign w:val="center"/>
          </w:tcPr>
          <w:p w:rsidR="009D5094" w:rsidRPr="00F16473" w:rsidRDefault="009D5094" w:rsidP="008D5913">
            <w:pPr>
              <w:jc w:val="center"/>
              <w:rPr>
                <w:lang w:val="sr-Cyrl-RS"/>
              </w:rPr>
            </w:pP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2623" w:type="dxa"/>
            <w:vMerge/>
          </w:tcPr>
          <w:p w:rsidR="009D5094" w:rsidRPr="006050E5" w:rsidRDefault="009D5094" w:rsidP="008D5913"/>
        </w:tc>
        <w:tc>
          <w:tcPr>
            <w:tcW w:w="2159" w:type="dxa"/>
            <w:gridSpan w:val="2"/>
          </w:tcPr>
          <w:p w:rsidR="009D5094" w:rsidRPr="006050E5" w:rsidRDefault="009D5094" w:rsidP="008D5913">
            <w:r w:rsidRPr="006050E5">
              <w:t>Други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15</w:t>
            </w:r>
          </w:p>
        </w:tc>
        <w:tc>
          <w:tcPr>
            <w:tcW w:w="2501" w:type="dxa"/>
            <w:vMerge/>
          </w:tcPr>
          <w:p w:rsidR="009D5094" w:rsidRPr="006050E5" w:rsidRDefault="009D5094" w:rsidP="008D5913"/>
        </w:tc>
        <w:tc>
          <w:tcPr>
            <w:tcW w:w="1860" w:type="dxa"/>
            <w:gridSpan w:val="2"/>
            <w:vMerge/>
          </w:tcPr>
          <w:p w:rsidR="009D5094" w:rsidRPr="006050E5" w:rsidRDefault="009D5094" w:rsidP="008D5913"/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семинар-и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F16473" w:rsidRDefault="009D5094" w:rsidP="008D5913">
            <w:pPr>
              <w:jc w:val="center"/>
              <w:rPr>
                <w:lang w:val="sr-Cyrl-RS"/>
              </w:rPr>
            </w:pPr>
          </w:p>
        </w:tc>
        <w:tc>
          <w:tcPr>
            <w:tcW w:w="2501" w:type="dxa"/>
          </w:tcPr>
          <w:p w:rsidR="009D5094" w:rsidRPr="006050E5" w:rsidRDefault="009D5094" w:rsidP="008D5913"/>
        </w:tc>
        <w:tc>
          <w:tcPr>
            <w:tcW w:w="1860" w:type="dxa"/>
            <w:gridSpan w:val="2"/>
          </w:tcPr>
          <w:p w:rsidR="009D5094" w:rsidRPr="006050E5" w:rsidRDefault="009D5094" w:rsidP="008D5913"/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C12135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21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21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enboardingschools.info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oardingschoolsinfo.com/boarding-schools-gui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2.%20Jesic%20M.%20Dragan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ummerhillschool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2013-09-24T11:00:00Z</dcterms:created>
  <dcterms:modified xsi:type="dcterms:W3CDTF">2013-10-03T09:24:00Z</dcterms:modified>
</cp:coreProperties>
</file>